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71148">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w:t>
      </w:r>
      <w:r>
        <w:rPr>
          <w:rFonts w:hint="eastAsia" w:ascii="方正小标宋简体" w:hAnsi="方正小标宋简体" w:eastAsia="方正小标宋简体" w:cs="方正小标宋简体"/>
          <w:b/>
          <w:spacing w:val="20"/>
          <w:sz w:val="44"/>
          <w:szCs w:val="44"/>
          <w:lang w:eastAsia="zh-CN"/>
        </w:rPr>
        <w:t>消费品召回购检承检机构工作规范</w:t>
      </w:r>
      <w:r>
        <w:rPr>
          <w:rFonts w:hint="eastAsia" w:ascii="方正小标宋简体" w:hAnsi="方正小标宋简体" w:eastAsia="方正小标宋简体" w:cs="方正小标宋简体"/>
          <w:b w:val="0"/>
          <w:bCs/>
          <w:kern w:val="0"/>
          <w:sz w:val="44"/>
          <w:szCs w:val="44"/>
        </w:rPr>
        <w:t>》</w:t>
      </w:r>
    </w:p>
    <w:p w14:paraId="2BE18307">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地方标准编制说明</w:t>
      </w:r>
    </w:p>
    <w:p w14:paraId="5BA1CD92">
      <w:pPr>
        <w:keepNext w:val="0"/>
        <w:keepLines w:val="0"/>
        <w:pageBreakBefore w:val="0"/>
        <w:kinsoku/>
        <w:wordWrap/>
        <w:overflowPunct/>
        <w:topLinePunct w:val="0"/>
        <w:autoSpaceDE/>
        <w:autoSpaceDN/>
        <w:bidi w:val="0"/>
        <w:adjustRightInd w:val="0"/>
        <w:snapToGrid w:val="0"/>
        <w:spacing w:line="560" w:lineRule="exact"/>
        <w:ind w:firstLine="880" w:firstLineChars="200"/>
        <w:jc w:val="center"/>
        <w:textAlignment w:val="auto"/>
        <w:rPr>
          <w:rFonts w:hint="eastAsia" w:ascii="方正小标宋简体" w:hAnsi="Times New Roman" w:eastAsia="方正小标宋简体"/>
          <w:b w:val="0"/>
          <w:bCs/>
          <w:kern w:val="0"/>
          <w:sz w:val="44"/>
          <w:szCs w:val="44"/>
        </w:rPr>
      </w:pPr>
    </w:p>
    <w:p w14:paraId="4764DDF7">
      <w:pPr>
        <w:keepNext w:val="0"/>
        <w:keepLines w:val="0"/>
        <w:pageBreakBefore w:val="0"/>
        <w:numPr>
          <w:ilvl w:val="0"/>
          <w:numId w:val="2"/>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任务来源及起草单位</w:t>
      </w:r>
    </w:p>
    <w:p w14:paraId="25AF2B07">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Times New Roman" w:eastAsia="仿宋_GB2312"/>
          <w:kern w:val="0"/>
          <w:sz w:val="32"/>
          <w:szCs w:val="32"/>
          <w:highlight w:val="none"/>
          <w:lang w:val="en-US" w:eastAsia="zh-CN"/>
        </w:rPr>
      </w:pPr>
      <w:r>
        <w:rPr>
          <w:rFonts w:hint="eastAsia" w:ascii="仿宋_GB2312" w:hAnsi="Times New Roman" w:eastAsia="仿宋_GB2312"/>
          <w:kern w:val="0"/>
          <w:sz w:val="32"/>
          <w:szCs w:val="32"/>
          <w:highlight w:val="none"/>
          <w:lang w:val="en-US" w:eastAsia="zh-CN"/>
        </w:rPr>
        <w:t>根据《江西省市场监管局关于下达 2024 年第十批江西省地方标准制修订计划的通知》（赣市监标〔2023〕6号）文件精神，批准该规范列入制订计划，计划编号DB36-2024-10-37。</w:t>
      </w:r>
    </w:p>
    <w:p w14:paraId="417E6E0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Times New Roman" w:eastAsia="仿宋_GB2312"/>
          <w:kern w:val="0"/>
          <w:sz w:val="32"/>
          <w:szCs w:val="32"/>
          <w:highlight w:val="none"/>
          <w:lang w:val="en-US" w:eastAsia="zh-CN"/>
        </w:rPr>
      </w:pPr>
      <w:r>
        <w:rPr>
          <w:rFonts w:hint="eastAsia" w:ascii="仿宋_GB2312" w:hAnsi="Times New Roman" w:eastAsia="仿宋_GB2312"/>
          <w:kern w:val="0"/>
          <w:sz w:val="32"/>
          <w:szCs w:val="32"/>
          <w:lang w:val="en-US" w:eastAsia="zh-CN"/>
        </w:rPr>
        <w:t>本标准由江西省市场监督管理局质量发展局、江西省检验检测认证总院工业产品检验检测院、江西省质量和标准化研究院负责起草。</w:t>
      </w:r>
    </w:p>
    <w:p w14:paraId="4DE13C77">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 xml:space="preserve">二、制定标准的必要性和意义 </w:t>
      </w:r>
    </w:p>
    <w:p w14:paraId="4BBC3D5A">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（一）标准编制的必要性</w:t>
      </w:r>
    </w:p>
    <w:p w14:paraId="0D398735">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缺陷消费品召回是事中事后市场监管的重要手段，对实现市场高效能治理、产业高质量发展、人民高品质生活具有重要意义。2020年 8 月，省局印发了《江西省缺陷消费品召回管理工作暂行办法》。该办法增加了各级市场监管部门产品伤害监测相关工作职责，扩展了消费品缺陷信息收集的主要方式和途径。</w:t>
      </w:r>
    </w:p>
    <w:p w14:paraId="33133068">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消费品召回购检是召回活动线索的重要来源,召回购检是一项涉及面广、种类多且对人员能力要求较高的一项工作，如果不对承检机构的资质、人员、设备、环境和召回购检工作流程等多方面进行全面规范，无法保障召回购检结果的真实性和公正性。因此，要从标准上规范消费品召回购检流程和承检机构能力，进一步提升其作为消费品安全监管的技术支撑。</w:t>
      </w:r>
    </w:p>
    <w:p w14:paraId="6E7AABB4">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hint="default"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（二）标准编制的意义</w:t>
      </w:r>
    </w:p>
    <w:p w14:paraId="69A64101">
      <w:pPr>
        <w:keepNext w:val="0"/>
        <w:keepLines w:val="0"/>
        <w:pageBreakBefore w:val="0"/>
        <w:widowControl/>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为满足《消费品召回管理暂行规定》的现实需要,围绕消费品召回购检的具体工作流程和承检机构能力加以规范从而为江西省开展消费品召回购检工作提供参考依据，以更好地服务于我省消费品召回的管理需要，故提出制定《消费品召回购检承检机构工作规范》地方标准。该标准的制定对我省消费品召回购检工作具有一定的指导意义。</w:t>
      </w:r>
    </w:p>
    <w:p w14:paraId="64260EEA">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kern w:val="0"/>
          <w:sz w:val="32"/>
          <w:szCs w:val="32"/>
          <w:lang w:eastAsia="zh-CN"/>
        </w:rPr>
      </w:pPr>
      <w:r>
        <w:rPr>
          <w:rFonts w:hint="eastAsia" w:ascii="黑体" w:hAnsi="黑体" w:eastAsia="黑体" w:cs="黑体"/>
          <w:b w:val="0"/>
          <w:bCs/>
          <w:kern w:val="0"/>
          <w:sz w:val="32"/>
          <w:szCs w:val="32"/>
        </w:rPr>
        <w:t>三、标准编制原则</w:t>
      </w:r>
    </w:p>
    <w:p w14:paraId="65D21985">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kern w:val="0"/>
          <w:sz w:val="32"/>
          <w:szCs w:val="32"/>
        </w:rPr>
      </w:pPr>
      <w:r>
        <w:rPr>
          <w:rFonts w:hint="eastAsia" w:ascii="仿宋_GB2312" w:hAnsi="Times New Roman" w:eastAsia="仿宋_GB2312"/>
          <w:kern w:val="0"/>
          <w:sz w:val="32"/>
          <w:szCs w:val="32"/>
        </w:rPr>
        <w:t>本标准在编制过程中，主要遵循了科学性、</w:t>
      </w:r>
      <w:r>
        <w:rPr>
          <w:rFonts w:hint="eastAsia" w:ascii="仿宋_GB2312" w:hAnsi="Times New Roman" w:eastAsia="仿宋_GB2312"/>
          <w:kern w:val="0"/>
          <w:sz w:val="32"/>
          <w:szCs w:val="32"/>
          <w:lang w:eastAsia="zh-CN"/>
        </w:rPr>
        <w:t>适用性、</w:t>
      </w:r>
      <w:r>
        <w:rPr>
          <w:rFonts w:hint="eastAsia" w:ascii="仿宋_GB2312" w:hAnsi="Times New Roman" w:eastAsia="仿宋_GB2312"/>
          <w:kern w:val="0"/>
          <w:sz w:val="32"/>
          <w:szCs w:val="32"/>
        </w:rPr>
        <w:t>规范性</w:t>
      </w:r>
      <w:r>
        <w:rPr>
          <w:rFonts w:hint="eastAsia" w:ascii="仿宋_GB2312" w:hAnsi="Times New Roman" w:eastAsia="仿宋_GB2312"/>
          <w:kern w:val="0"/>
          <w:sz w:val="32"/>
          <w:szCs w:val="32"/>
          <w:lang w:val="en-US" w:eastAsia="zh-CN"/>
        </w:rPr>
        <w:t>和可操作性</w:t>
      </w:r>
      <w:r>
        <w:rPr>
          <w:rFonts w:hint="eastAsia" w:ascii="仿宋_GB2312" w:hAnsi="Times New Roman" w:eastAsia="仿宋_GB2312"/>
          <w:kern w:val="0"/>
          <w:sz w:val="32"/>
          <w:szCs w:val="32"/>
        </w:rPr>
        <w:t>的原则。</w:t>
      </w:r>
    </w:p>
    <w:p w14:paraId="24065A94">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（一）科学性原则</w:t>
      </w:r>
    </w:p>
    <w:p w14:paraId="73BCC08F">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本标准严格遵守国家相关法律、文件，深入钻研相关理论，认真梳理国家层面和省内相关的法律法规和政策文本，按《缺陷消费品召回工作管理规范》《江西省缺陷消费品召回管理工作暂行办法》中的原则要求进行编写。与各设区市消费品召回购检承检机构开展交流，掌握</w:t>
      </w:r>
      <w:r>
        <w:rPr>
          <w:rFonts w:hint="eastAsia" w:ascii="仿宋_GB2312" w:hAnsi="Times New Roman" w:eastAsia="仿宋_GB2312"/>
          <w:kern w:val="0"/>
          <w:sz w:val="32"/>
          <w:szCs w:val="32"/>
          <w:lang w:eastAsia="zh-CN"/>
        </w:rPr>
        <w:t>各地消费品召回购检</w:t>
      </w:r>
      <w:r>
        <w:rPr>
          <w:rFonts w:hint="eastAsia" w:ascii="仿宋_GB2312" w:hAnsi="Times New Roman" w:eastAsia="仿宋_GB2312"/>
          <w:kern w:val="0"/>
          <w:sz w:val="32"/>
          <w:szCs w:val="32"/>
          <w:lang w:val="en-US" w:eastAsia="zh-CN"/>
        </w:rPr>
        <w:t>工作运行情况，在理论和实际工作方面体现该标准的科学性。</w:t>
      </w:r>
    </w:p>
    <w:p w14:paraId="3A5B8778">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（二）适用性原则</w:t>
      </w:r>
    </w:p>
    <w:p w14:paraId="23FDB965">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 xml:space="preserve">以规范我省消费品召回购检承检机构为基础，标准制定充分考虑了我省消费品召回购检工作的实际情况，详细梳理了召回购检操作流程，明确了召回购检的原则，以及对消费品召回购检承检机构的相关要求。 </w:t>
      </w:r>
    </w:p>
    <w:p w14:paraId="32BEE137">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（三）</w:t>
      </w:r>
      <w:r>
        <w:rPr>
          <w:rFonts w:hint="eastAsia" w:ascii="仿宋_GB2312" w:hAnsi="Times New Roman" w:eastAsia="仿宋_GB2312"/>
          <w:kern w:val="0"/>
          <w:sz w:val="32"/>
          <w:szCs w:val="32"/>
        </w:rPr>
        <w:t>规范性</w:t>
      </w:r>
      <w:r>
        <w:rPr>
          <w:rFonts w:hint="eastAsia" w:ascii="仿宋_GB2312" w:hAnsi="Times New Roman" w:eastAsia="仿宋_GB2312"/>
          <w:kern w:val="0"/>
          <w:sz w:val="32"/>
          <w:szCs w:val="32"/>
          <w:lang w:val="en-US" w:eastAsia="zh-CN"/>
        </w:rPr>
        <w:t>原则</w:t>
      </w:r>
    </w:p>
    <w:p w14:paraId="58EA61C8">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outlineLvl w:val="0"/>
        <w:rPr>
          <w:rFonts w:hint="eastAsia" w:ascii="仿宋_GB2312" w:hAnsi="Times New Roman" w:eastAsia="仿宋_GB2312"/>
          <w:kern w:val="0"/>
          <w:sz w:val="32"/>
          <w:szCs w:val="32"/>
        </w:rPr>
      </w:pPr>
      <w:r>
        <w:rPr>
          <w:rFonts w:hint="eastAsia" w:ascii="仿宋_GB2312" w:hAnsi="Times New Roman" w:eastAsia="仿宋_GB2312"/>
          <w:kern w:val="0"/>
          <w:sz w:val="32"/>
          <w:szCs w:val="32"/>
          <w:lang w:eastAsia="zh-CN"/>
        </w:rPr>
        <w:t>本标准</w:t>
      </w:r>
      <w:r>
        <w:rPr>
          <w:rFonts w:hint="eastAsia" w:ascii="仿宋_GB2312" w:hAnsi="Times New Roman" w:eastAsia="仿宋_GB2312"/>
          <w:kern w:val="0"/>
          <w:sz w:val="32"/>
          <w:szCs w:val="32"/>
        </w:rPr>
        <w:t>格式上严格按照GB/T1.1-20</w:t>
      </w:r>
      <w:r>
        <w:rPr>
          <w:rFonts w:ascii="仿宋_GB2312" w:hAnsi="Times New Roman" w:eastAsia="仿宋_GB2312"/>
          <w:kern w:val="0"/>
          <w:sz w:val="32"/>
          <w:szCs w:val="32"/>
        </w:rPr>
        <w:t>20</w:t>
      </w:r>
      <w:r>
        <w:rPr>
          <w:rFonts w:hint="eastAsia" w:ascii="仿宋_GB2312" w:hAnsi="Times New Roman" w:eastAsia="仿宋_GB2312"/>
          <w:kern w:val="0"/>
          <w:sz w:val="32"/>
          <w:szCs w:val="32"/>
        </w:rPr>
        <w:t>的规定进行编写。</w:t>
      </w:r>
    </w:p>
    <w:p w14:paraId="2B65CB07">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leftChars="0"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（四）可操作性原则</w:t>
      </w:r>
    </w:p>
    <w:p w14:paraId="53DFB1D5">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0"/>
        <w:rPr>
          <w:rFonts w:hint="eastAsia" w:ascii="仿宋_GB2312" w:hAnsi="Times New Roman" w:eastAsia="仿宋_GB2312"/>
          <w:kern w:val="0"/>
          <w:sz w:val="32"/>
          <w:szCs w:val="32"/>
          <w:lang w:val="en-US" w:eastAsia="zh-CN"/>
        </w:rPr>
      </w:pPr>
      <w:r>
        <w:rPr>
          <w:rFonts w:hint="eastAsia" w:ascii="仿宋_GB2312" w:hAnsi="Times New Roman" w:eastAsia="仿宋_GB2312"/>
          <w:kern w:val="0"/>
          <w:sz w:val="32"/>
          <w:szCs w:val="32"/>
          <w:lang w:val="en-US" w:eastAsia="zh-CN"/>
        </w:rPr>
        <w:t>本标准结合了各设区市消费品召回购检承检机构的实际操作，能为缺陷消费品召回购检工作提供参考及标准依据。</w:t>
      </w:r>
    </w:p>
    <w:p w14:paraId="66E51356">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四、标准编制过程</w:t>
      </w:r>
    </w:p>
    <w:p w14:paraId="1AEB14FC">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eastAsia" w:ascii="仿宋_GB2312" w:hAnsi="仿宋_GB2312" w:eastAsia="仿宋_GB2312" w:cs="宋体"/>
          <w:sz w:val="32"/>
          <w:szCs w:val="32"/>
        </w:rPr>
        <w:t>本标准的起草小组由</w:t>
      </w:r>
      <w:r>
        <w:rPr>
          <w:rFonts w:hint="eastAsia" w:ascii="仿宋_GB2312" w:hAnsi="Times New Roman" w:eastAsia="仿宋_GB2312"/>
          <w:kern w:val="0"/>
          <w:sz w:val="32"/>
          <w:szCs w:val="32"/>
          <w:lang w:val="en-US" w:eastAsia="zh-CN"/>
        </w:rPr>
        <w:t>江西省市场监督管理局质量发展局、江西省检验检测认证总院工业产品检验检测院、江西省质量和标准化研究院</w:t>
      </w:r>
      <w:r>
        <w:rPr>
          <w:rFonts w:hint="eastAsia" w:ascii="仿宋_GB2312" w:hAnsi="仿宋_GB2312" w:eastAsia="仿宋_GB2312" w:cs="宋体"/>
          <w:sz w:val="32"/>
          <w:szCs w:val="32"/>
        </w:rPr>
        <w:t>共同组建，具体工作流程安排如下：</w:t>
      </w:r>
    </w:p>
    <w:p w14:paraId="5067509E">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default" w:ascii="仿宋_GB2312" w:hAnsi="仿宋_GB2312" w:eastAsia="仿宋_GB2312" w:cs="宋体"/>
          <w:sz w:val="32"/>
          <w:szCs w:val="32"/>
        </w:rPr>
        <w:t>（</w:t>
      </w:r>
      <w:r>
        <w:rPr>
          <w:rFonts w:hint="default" w:ascii="仿宋_GB2312" w:hAnsi="仿宋_GB2312" w:eastAsia="仿宋_GB2312" w:cs="宋体"/>
          <w:sz w:val="32"/>
          <w:szCs w:val="32"/>
          <w:lang w:val="en-US" w:eastAsia="zh-CN"/>
        </w:rPr>
        <w:t>1</w:t>
      </w:r>
      <w:r>
        <w:rPr>
          <w:rFonts w:hint="default" w:ascii="仿宋_GB2312" w:hAnsi="仿宋_GB2312" w:eastAsia="仿宋_GB2312" w:cs="宋体"/>
          <w:sz w:val="32"/>
          <w:szCs w:val="32"/>
        </w:rPr>
        <w:t>）</w:t>
      </w:r>
      <w:r>
        <w:rPr>
          <w:rFonts w:hint="eastAsia" w:ascii="仿宋_GB2312" w:hAnsi="仿宋_GB2312" w:eastAsia="仿宋_GB2312" w:cs="宋体"/>
          <w:sz w:val="32"/>
          <w:szCs w:val="32"/>
        </w:rPr>
        <w:t>成立</w:t>
      </w:r>
      <w:r>
        <w:rPr>
          <w:rFonts w:hint="eastAsia" w:ascii="仿宋_GB2312" w:hAnsi="仿宋_GB2312" w:eastAsia="仿宋_GB2312" w:cs="宋体"/>
          <w:sz w:val="32"/>
          <w:szCs w:val="32"/>
          <w:lang w:eastAsia="zh-CN"/>
        </w:rPr>
        <w:t>起草</w:t>
      </w:r>
      <w:r>
        <w:rPr>
          <w:rFonts w:hint="eastAsia" w:ascii="仿宋_GB2312" w:hAnsi="仿宋_GB2312" w:eastAsia="仿宋_GB2312" w:cs="宋体"/>
          <w:sz w:val="32"/>
          <w:szCs w:val="32"/>
        </w:rPr>
        <w:t>小组</w:t>
      </w:r>
    </w:p>
    <w:p w14:paraId="1821D9AF">
      <w:pPr>
        <w:keepNext w:val="0"/>
        <w:keepLines w:val="0"/>
        <w:pageBreakBefore w:val="0"/>
        <w:numPr>
          <w:ilvl w:val="0"/>
          <w:numId w:val="0"/>
        </w:numPr>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eastAsia" w:ascii="仿宋_GB2312" w:hAnsi="Times New Roman" w:eastAsia="仿宋_GB2312"/>
          <w:color w:val="000000"/>
          <w:kern w:val="0"/>
          <w:sz w:val="32"/>
          <w:szCs w:val="32"/>
        </w:rPr>
        <w:t>成立《消费品召回</w:t>
      </w:r>
      <w:bookmarkStart w:id="0" w:name="_GoBack"/>
      <w:r>
        <w:rPr>
          <w:rFonts w:hint="eastAsia" w:ascii="仿宋_GB2312" w:hAnsi="Times New Roman" w:eastAsia="仿宋_GB2312"/>
          <w:color w:val="000000"/>
          <w:kern w:val="0"/>
          <w:sz w:val="32"/>
          <w:szCs w:val="32"/>
        </w:rPr>
        <w:t>购检</w:t>
      </w:r>
      <w:bookmarkEnd w:id="0"/>
      <w:r>
        <w:rPr>
          <w:rFonts w:hint="eastAsia" w:ascii="仿宋_GB2312" w:hAnsi="Times New Roman" w:eastAsia="仿宋_GB2312"/>
          <w:color w:val="000000"/>
          <w:kern w:val="0"/>
          <w:sz w:val="32"/>
          <w:szCs w:val="32"/>
        </w:rPr>
        <w:t>承检机构工作规范》</w:t>
      </w:r>
      <w:r>
        <w:rPr>
          <w:rFonts w:hint="eastAsia" w:ascii="仿宋_GB2312" w:hAnsi="Times New Roman" w:eastAsia="仿宋_GB2312"/>
          <w:color w:val="000000"/>
          <w:kern w:val="0"/>
          <w:sz w:val="32"/>
          <w:szCs w:val="32"/>
          <w:lang w:eastAsia="zh-CN"/>
        </w:rPr>
        <w:t>省级</w:t>
      </w:r>
      <w:r>
        <w:rPr>
          <w:rFonts w:hint="eastAsia" w:ascii="仿宋_GB2312" w:hAnsi="Times New Roman" w:eastAsia="仿宋_GB2312"/>
          <w:color w:val="000000"/>
          <w:kern w:val="0"/>
          <w:sz w:val="32"/>
          <w:szCs w:val="32"/>
        </w:rPr>
        <w:t>地方标准起草小组，</w:t>
      </w:r>
      <w:r>
        <w:rPr>
          <w:rFonts w:hint="eastAsia" w:ascii="仿宋_GB2312" w:hAnsi="仿宋_GB2312" w:eastAsia="仿宋_GB2312" w:cs="宋体"/>
          <w:sz w:val="32"/>
          <w:szCs w:val="32"/>
        </w:rPr>
        <w:t>明确任务分工和工作职责，制定标准化</w:t>
      </w:r>
      <w:r>
        <w:rPr>
          <w:rFonts w:hint="eastAsia" w:ascii="仿宋_GB2312" w:hAnsi="仿宋_GB2312" w:eastAsia="仿宋_GB2312" w:cs="宋体"/>
          <w:sz w:val="32"/>
          <w:szCs w:val="32"/>
          <w:lang w:eastAsia="zh-CN"/>
        </w:rPr>
        <w:t>召回</w:t>
      </w:r>
      <w:r>
        <w:rPr>
          <w:rFonts w:hint="eastAsia" w:ascii="仿宋_GB2312" w:hAnsi="仿宋_GB2312" w:eastAsia="仿宋_GB2312" w:cs="宋体"/>
          <w:sz w:val="32"/>
          <w:szCs w:val="32"/>
        </w:rPr>
        <w:t>工作方案，全面推进标准化编制工作。</w:t>
      </w:r>
    </w:p>
    <w:p w14:paraId="6A3AB171">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default" w:ascii="仿宋_GB2312" w:hAnsi="仿宋_GB2312" w:eastAsia="仿宋_GB2312" w:cs="宋体"/>
          <w:sz w:val="32"/>
          <w:szCs w:val="32"/>
        </w:rPr>
      </w:pPr>
      <w:r>
        <w:rPr>
          <w:rFonts w:hint="default" w:ascii="仿宋_GB2312" w:hAnsi="仿宋_GB2312" w:eastAsia="仿宋_GB2312" w:cs="宋体"/>
          <w:sz w:val="32"/>
          <w:szCs w:val="32"/>
        </w:rPr>
        <w:t>（</w:t>
      </w:r>
      <w:r>
        <w:rPr>
          <w:rFonts w:hint="eastAsia" w:ascii="仿宋_GB2312" w:hAnsi="仿宋_GB2312" w:eastAsia="仿宋_GB2312" w:cs="宋体"/>
          <w:sz w:val="32"/>
          <w:szCs w:val="32"/>
          <w:lang w:val="en-US" w:eastAsia="zh-CN"/>
        </w:rPr>
        <w:t>2</w:t>
      </w:r>
      <w:r>
        <w:rPr>
          <w:rFonts w:hint="default" w:ascii="仿宋_GB2312" w:hAnsi="仿宋_GB2312" w:eastAsia="仿宋_GB2312" w:cs="宋体"/>
          <w:sz w:val="32"/>
          <w:szCs w:val="32"/>
        </w:rPr>
        <w:t>）调研与材料收集</w:t>
      </w:r>
    </w:p>
    <w:p w14:paraId="16435242">
      <w:pPr>
        <w:keepNext w:val="0"/>
        <w:keepLines w:val="0"/>
        <w:pageBreakBefore w:val="0"/>
        <w:numPr>
          <w:ilvl w:val="0"/>
          <w:numId w:val="0"/>
        </w:numPr>
        <w:kinsoku/>
        <w:wordWrap/>
        <w:overflowPunct/>
        <w:topLinePunct w:val="0"/>
        <w:bidi w:val="0"/>
        <w:adjustRightInd w:val="0"/>
        <w:snapToGrid w:val="0"/>
        <w:spacing w:line="560" w:lineRule="exact"/>
        <w:ind w:firstLine="640" w:firstLineChars="200"/>
        <w:textAlignment w:val="auto"/>
        <w:rPr>
          <w:rFonts w:hint="eastAsia" w:ascii="仿宋_GB2312" w:hAnsi="Times New Roman" w:eastAsia="仿宋_GB2312"/>
          <w:color w:val="000000"/>
          <w:kern w:val="0"/>
          <w:sz w:val="32"/>
          <w:szCs w:val="32"/>
          <w:lang w:eastAsia="zh-CN"/>
        </w:rPr>
      </w:pPr>
      <w:r>
        <w:rPr>
          <w:rFonts w:hint="eastAsia" w:ascii="仿宋_GB2312" w:hAnsi="Times New Roman" w:eastAsia="仿宋_GB2312"/>
          <w:color w:val="000000"/>
          <w:kern w:val="0"/>
          <w:sz w:val="32"/>
          <w:szCs w:val="32"/>
        </w:rPr>
        <w:t>对标准内容进行调研、</w:t>
      </w:r>
      <w:r>
        <w:rPr>
          <w:rFonts w:hint="eastAsia" w:ascii="仿宋_GB2312" w:hAnsi="Times New Roman" w:eastAsia="仿宋_GB2312"/>
          <w:color w:val="000000"/>
          <w:kern w:val="0"/>
          <w:sz w:val="32"/>
          <w:szCs w:val="32"/>
          <w:lang w:val="en-US" w:eastAsia="zh-CN"/>
        </w:rPr>
        <w:t>论证</w:t>
      </w:r>
      <w:r>
        <w:rPr>
          <w:rFonts w:hint="eastAsia" w:ascii="仿宋_GB2312" w:hAnsi="Times New Roman" w:eastAsia="仿宋_GB2312"/>
          <w:color w:val="000000"/>
          <w:kern w:val="0"/>
          <w:sz w:val="32"/>
          <w:szCs w:val="32"/>
        </w:rPr>
        <w:t>，收集相关</w:t>
      </w:r>
      <w:r>
        <w:rPr>
          <w:rFonts w:hint="eastAsia" w:ascii="仿宋_GB2312" w:hAnsi="Times New Roman" w:eastAsia="仿宋_GB2312"/>
          <w:color w:val="000000"/>
          <w:kern w:val="0"/>
          <w:sz w:val="32"/>
          <w:szCs w:val="32"/>
          <w:lang w:val="en-US" w:eastAsia="zh-CN"/>
        </w:rPr>
        <w:t>文献</w:t>
      </w:r>
      <w:r>
        <w:rPr>
          <w:rFonts w:hint="eastAsia" w:ascii="仿宋_GB2312" w:hAnsi="Times New Roman" w:eastAsia="仿宋_GB2312"/>
          <w:color w:val="000000"/>
          <w:kern w:val="0"/>
          <w:sz w:val="32"/>
          <w:szCs w:val="32"/>
        </w:rPr>
        <w:t>资料，完成前期调研和资料收集工作；召开标准起草研讨会，</w:t>
      </w:r>
      <w:r>
        <w:rPr>
          <w:rFonts w:hint="eastAsia" w:ascii="仿宋_GB2312" w:hAnsi="Times New Roman" w:eastAsia="仿宋_GB2312"/>
          <w:color w:val="000000"/>
          <w:kern w:val="0"/>
          <w:sz w:val="32"/>
          <w:szCs w:val="32"/>
          <w:lang w:val="en-US" w:eastAsia="zh-CN"/>
        </w:rPr>
        <w:t>对标准科学性、可操作性进行论证，</w:t>
      </w:r>
      <w:r>
        <w:rPr>
          <w:rFonts w:hint="eastAsia" w:ascii="仿宋_GB2312" w:hAnsi="Times New Roman" w:eastAsia="仿宋_GB2312"/>
          <w:color w:val="000000"/>
          <w:kern w:val="0"/>
          <w:sz w:val="32"/>
          <w:szCs w:val="32"/>
        </w:rPr>
        <w:t>对前期调研收集的资料进行筛选，确定标准起草的主要内容</w:t>
      </w:r>
      <w:r>
        <w:rPr>
          <w:rFonts w:hint="eastAsia" w:ascii="仿宋_GB2312" w:hAnsi="Times New Roman" w:eastAsia="仿宋_GB2312"/>
          <w:color w:val="000000"/>
          <w:kern w:val="0"/>
          <w:sz w:val="32"/>
          <w:szCs w:val="32"/>
          <w:lang w:eastAsia="zh-CN"/>
        </w:rPr>
        <w:t>。</w:t>
      </w:r>
    </w:p>
    <w:p w14:paraId="38775A3E">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lang w:val="en-US" w:eastAsia="zh-CN"/>
        </w:rPr>
      </w:pPr>
      <w:r>
        <w:rPr>
          <w:rFonts w:hint="default" w:ascii="仿宋_GB2312" w:hAnsi="仿宋_GB2312" w:eastAsia="仿宋_GB2312" w:cs="宋体"/>
          <w:sz w:val="32"/>
          <w:szCs w:val="32"/>
        </w:rPr>
        <w:t>（</w:t>
      </w:r>
      <w:r>
        <w:rPr>
          <w:rFonts w:hint="eastAsia" w:ascii="仿宋_GB2312" w:hAnsi="仿宋_GB2312" w:eastAsia="仿宋_GB2312" w:cs="宋体"/>
          <w:sz w:val="32"/>
          <w:szCs w:val="32"/>
          <w:lang w:val="en-US" w:eastAsia="zh-CN"/>
        </w:rPr>
        <w:t>3</w:t>
      </w:r>
      <w:r>
        <w:rPr>
          <w:rFonts w:hint="default" w:ascii="仿宋_GB2312" w:hAnsi="仿宋_GB2312" w:eastAsia="仿宋_GB2312" w:cs="宋体"/>
          <w:sz w:val="32"/>
          <w:szCs w:val="32"/>
        </w:rPr>
        <w:t>）</w:t>
      </w:r>
      <w:r>
        <w:rPr>
          <w:rFonts w:hint="eastAsia" w:ascii="仿宋_GB2312" w:hAnsi="仿宋_GB2312" w:eastAsia="仿宋_GB2312" w:cs="宋体"/>
          <w:sz w:val="32"/>
          <w:szCs w:val="32"/>
          <w:lang w:val="en-US" w:eastAsia="zh-CN"/>
        </w:rPr>
        <w:t>标准编写与立项</w:t>
      </w:r>
    </w:p>
    <w:p w14:paraId="41E6286F">
      <w:pPr>
        <w:keepNext w:val="0"/>
        <w:keepLines w:val="0"/>
        <w:pageBreakBefore w:val="0"/>
        <w:numPr>
          <w:ilvl w:val="0"/>
          <w:numId w:val="0"/>
        </w:numPr>
        <w:kinsoku/>
        <w:wordWrap/>
        <w:overflowPunct/>
        <w:topLinePunct w:val="0"/>
        <w:bidi w:val="0"/>
        <w:adjustRightInd w:val="0"/>
        <w:snapToGrid w:val="0"/>
        <w:spacing w:line="560" w:lineRule="exact"/>
        <w:ind w:firstLine="640" w:firstLineChars="200"/>
        <w:textAlignment w:val="auto"/>
        <w:rPr>
          <w:rFonts w:hint="eastAsia" w:ascii="仿宋_GB2312" w:hAnsi="Times New Roman" w:eastAsia="仿宋_GB2312"/>
          <w:color w:val="000000"/>
          <w:kern w:val="0"/>
          <w:sz w:val="32"/>
          <w:szCs w:val="32"/>
          <w:lang w:eastAsia="zh-CN"/>
        </w:rPr>
      </w:pPr>
      <w:r>
        <w:rPr>
          <w:rFonts w:hint="eastAsia" w:ascii="仿宋_GB2312" w:hAnsi="Times New Roman" w:eastAsia="仿宋_GB2312"/>
          <w:color w:val="000000"/>
          <w:kern w:val="0"/>
          <w:sz w:val="32"/>
          <w:szCs w:val="32"/>
          <w:lang w:eastAsia="zh-CN"/>
        </w:rPr>
        <w:t>标准起草小组通过查阅相关的法律法规、文件资料，根据标准化相关规范性文件，完成标准草案和项目建议书。由省市场监督管理局审核后申请立项，顺利通过立项评估会，并于202</w:t>
      </w:r>
      <w:r>
        <w:rPr>
          <w:rFonts w:hint="eastAsia" w:ascii="仿宋_GB2312" w:hAnsi="Times New Roman" w:eastAsia="仿宋_GB2312"/>
          <w:color w:val="000000"/>
          <w:kern w:val="0"/>
          <w:sz w:val="32"/>
          <w:szCs w:val="32"/>
          <w:lang w:val="en-US" w:eastAsia="zh-CN"/>
        </w:rPr>
        <w:t>4</w:t>
      </w:r>
      <w:r>
        <w:rPr>
          <w:rFonts w:hint="eastAsia" w:ascii="仿宋_GB2312" w:hAnsi="Times New Roman" w:eastAsia="仿宋_GB2312"/>
          <w:color w:val="000000"/>
          <w:kern w:val="0"/>
          <w:sz w:val="32"/>
          <w:szCs w:val="32"/>
          <w:lang w:eastAsia="zh-CN"/>
        </w:rPr>
        <w:t>年</w:t>
      </w:r>
      <w:r>
        <w:rPr>
          <w:rFonts w:hint="eastAsia" w:ascii="仿宋_GB2312" w:hAnsi="Times New Roman" w:eastAsia="仿宋_GB2312"/>
          <w:color w:val="000000"/>
          <w:kern w:val="0"/>
          <w:sz w:val="32"/>
          <w:szCs w:val="32"/>
          <w:lang w:val="en-US" w:eastAsia="zh-CN"/>
        </w:rPr>
        <w:t>12</w:t>
      </w:r>
      <w:r>
        <w:rPr>
          <w:rFonts w:hint="eastAsia" w:ascii="仿宋_GB2312" w:hAnsi="Times New Roman" w:eastAsia="仿宋_GB2312"/>
          <w:color w:val="000000"/>
          <w:kern w:val="0"/>
          <w:sz w:val="32"/>
          <w:szCs w:val="32"/>
          <w:lang w:eastAsia="zh-CN"/>
        </w:rPr>
        <w:t>月由省市场监督管理局下达立项计划。</w:t>
      </w:r>
    </w:p>
    <w:p w14:paraId="2E2C9D4B">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宋体"/>
          <w:sz w:val="32"/>
          <w:szCs w:val="32"/>
          <w:lang w:val="en-US" w:eastAsia="zh-CN"/>
        </w:rPr>
      </w:pPr>
      <w:r>
        <w:rPr>
          <w:rFonts w:hint="default" w:ascii="仿宋_GB2312" w:hAnsi="仿宋_GB2312" w:eastAsia="仿宋_GB2312" w:cs="宋体"/>
          <w:sz w:val="32"/>
          <w:szCs w:val="32"/>
        </w:rPr>
        <w:t>（</w:t>
      </w:r>
      <w:r>
        <w:rPr>
          <w:rFonts w:hint="eastAsia" w:ascii="仿宋_GB2312" w:hAnsi="仿宋_GB2312" w:eastAsia="仿宋_GB2312" w:cs="宋体"/>
          <w:sz w:val="32"/>
          <w:szCs w:val="32"/>
          <w:lang w:val="en-US" w:eastAsia="zh-CN"/>
        </w:rPr>
        <w:t>4</w:t>
      </w:r>
      <w:r>
        <w:rPr>
          <w:rFonts w:hint="default" w:ascii="仿宋_GB2312" w:hAnsi="仿宋_GB2312" w:eastAsia="仿宋_GB2312" w:cs="宋体"/>
          <w:sz w:val="32"/>
          <w:szCs w:val="32"/>
        </w:rPr>
        <w:t>）</w:t>
      </w:r>
      <w:r>
        <w:rPr>
          <w:rFonts w:hint="eastAsia" w:ascii="仿宋_GB2312" w:hAnsi="仿宋_GB2312" w:eastAsia="仿宋_GB2312" w:cs="宋体"/>
          <w:sz w:val="32"/>
          <w:szCs w:val="32"/>
          <w:lang w:val="en-US" w:eastAsia="zh-CN"/>
        </w:rPr>
        <w:t>标准研讨及完善</w:t>
      </w:r>
    </w:p>
    <w:p w14:paraId="633E4C2B">
      <w:pPr>
        <w:pStyle w:val="2"/>
        <w:keepNext w:val="0"/>
        <w:keepLines w:val="0"/>
        <w:pageBreakBefore w:val="0"/>
        <w:numPr>
          <w:ilvl w:val="0"/>
          <w:numId w:val="0"/>
        </w:numPr>
        <w:kinsoku/>
        <w:wordWrap/>
        <w:overflowPunct/>
        <w:topLinePunct w:val="0"/>
        <w:bidi w:val="0"/>
        <w:adjustRightInd w:val="0"/>
        <w:snapToGrid w:val="0"/>
        <w:spacing w:line="560" w:lineRule="exact"/>
        <w:ind w:firstLine="640" w:firstLineChars="200"/>
        <w:textAlignment w:val="auto"/>
        <w:rPr>
          <w:rFonts w:hint="eastAsia"/>
          <w:lang w:eastAsia="zh-CN"/>
        </w:rPr>
      </w:pPr>
      <w:r>
        <w:rPr>
          <w:rFonts w:hint="eastAsia" w:ascii="仿宋_GB2312" w:hAnsi="Times New Roman" w:eastAsia="仿宋_GB2312" w:cs="Times New Roman"/>
          <w:color w:val="000000"/>
          <w:kern w:val="0"/>
          <w:sz w:val="32"/>
          <w:szCs w:val="32"/>
          <w:lang w:val="en-US" w:eastAsia="zh-CN" w:bidi="ar-SA"/>
        </w:rPr>
        <w:t>为进一步完善标准内容，</w:t>
      </w:r>
      <w:r>
        <w:rPr>
          <w:rFonts w:hint="eastAsia" w:ascii="仿宋_GB2312" w:hAnsi="Times New Roman" w:eastAsia="仿宋_GB2312"/>
          <w:color w:val="000000"/>
          <w:kern w:val="0"/>
          <w:sz w:val="32"/>
          <w:szCs w:val="32"/>
          <w:lang w:eastAsia="zh-CN"/>
        </w:rPr>
        <w:t>标准起草小组</w:t>
      </w:r>
      <w:r>
        <w:rPr>
          <w:rFonts w:hint="eastAsia" w:ascii="仿宋_GB2312" w:hAnsi="Times New Roman" w:eastAsia="仿宋_GB2312" w:cs="Times New Roman"/>
          <w:color w:val="000000"/>
          <w:kern w:val="0"/>
          <w:sz w:val="32"/>
          <w:szCs w:val="32"/>
          <w:lang w:val="en-US" w:eastAsia="zh-CN" w:bidi="ar-SA"/>
        </w:rPr>
        <w:t>多次组织召开研讨会，征询起草小组内部成员、科研院所、召回技术机构等专家的意见。不断完善标准内容，初步形成征求意见稿。</w:t>
      </w:r>
    </w:p>
    <w:p w14:paraId="636EF567">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五、标准主要条款编制说明</w:t>
      </w:r>
    </w:p>
    <w:p w14:paraId="09B5321F">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（一）标准适用范围</w:t>
      </w:r>
    </w:p>
    <w:p w14:paraId="2459AB76">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本文件规定了消费品召回购检承检机构的基本要求和召回购检工作程序。</w:t>
      </w:r>
    </w:p>
    <w:p w14:paraId="4DB1C0D9">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本文件适用于江西省内消费品召回购检承检机构在开展召回购检工作时应遵循的技术规范。</w:t>
      </w:r>
    </w:p>
    <w:p w14:paraId="14727394">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（二）标准引用文件</w:t>
      </w:r>
    </w:p>
    <w:p w14:paraId="36FEECFA">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本标准在编制过程中的主要依据：</w:t>
      </w:r>
    </w:p>
    <w:p w14:paraId="3A3218E3">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GB/T 27025  检测和校准实验室能力的通用要求</w:t>
      </w:r>
    </w:p>
    <w:p w14:paraId="5AD1F95E">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（三）标准制定原则</w:t>
      </w:r>
    </w:p>
    <w:p w14:paraId="656F47F4">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本标准的编制遵循“科学性、适用性、规范性、可操作性”等原则。起草小组在确保标准主要内容和技术条款先进性的前提下，按照 GB/T 1.1—2020《标准化工作导则  第1部分：标准化文件的结构和起草规则》的规定起草，力求各项指标科学合理，符合行业工作实际需求，并注重标准的可操作性。</w:t>
      </w:r>
    </w:p>
    <w:p w14:paraId="0B90666A">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textAlignment w:val="auto"/>
        <w:outlineLvl w:val="0"/>
        <w:rPr>
          <w:rFonts w:hint="eastAsia" w:ascii="仿宋_GB2312" w:hAnsi="Times New Roman" w:eastAsia="仿宋_GB2312" w:cs="Times New Roman"/>
          <w:color w:val="000000"/>
          <w:kern w:val="0"/>
          <w:sz w:val="32"/>
          <w:szCs w:val="32"/>
          <w:lang w:val="en-US" w:eastAsia="zh-CN" w:bidi="ar-SA"/>
        </w:rPr>
      </w:pPr>
      <w:r>
        <w:rPr>
          <w:rFonts w:hint="eastAsia" w:ascii="仿宋_GB2312" w:hAnsi="Times New Roman" w:eastAsia="仿宋_GB2312" w:cs="Times New Roman"/>
          <w:color w:val="000000"/>
          <w:kern w:val="0"/>
          <w:sz w:val="32"/>
          <w:szCs w:val="32"/>
          <w:lang w:val="en-US" w:eastAsia="zh-CN" w:bidi="ar-SA"/>
        </w:rPr>
        <w:t>（四）标准主要内容</w:t>
      </w:r>
    </w:p>
    <w:p w14:paraId="1971CABB">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1</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rPr>
        <w:t>术语与定义</w:t>
      </w:r>
    </w:p>
    <w:p w14:paraId="268BF516">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jc w:val="left"/>
        <w:textAlignment w:val="auto"/>
        <w:outlineLvl w:val="2"/>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本标准主要</w:t>
      </w:r>
      <w:r>
        <w:rPr>
          <w:rFonts w:hint="eastAsia" w:ascii="仿宋_GB2312" w:hAnsi="仿宋_GB2312" w:eastAsia="仿宋_GB2312" w:cs="仿宋_GB2312"/>
          <w:b w:val="0"/>
          <w:bCs/>
          <w:color w:val="000000"/>
          <w:sz w:val="32"/>
          <w:szCs w:val="32"/>
          <w:lang w:eastAsia="zh-CN"/>
        </w:rPr>
        <w:t>对消费品召回购检承检机构</w:t>
      </w:r>
      <w:r>
        <w:rPr>
          <w:rFonts w:hint="eastAsia" w:ascii="仿宋_GB2312" w:hAnsi="仿宋_GB2312" w:eastAsia="仿宋_GB2312" w:cs="仿宋_GB2312"/>
          <w:b w:val="0"/>
          <w:bCs/>
          <w:color w:val="000000"/>
          <w:sz w:val="32"/>
          <w:szCs w:val="32"/>
          <w:lang w:val="en-US" w:eastAsia="zh-CN"/>
        </w:rPr>
        <w:t>相关术语</w:t>
      </w:r>
      <w:r>
        <w:rPr>
          <w:rFonts w:hint="eastAsia" w:ascii="仿宋_GB2312" w:hAnsi="仿宋_GB2312" w:eastAsia="仿宋_GB2312" w:cs="仿宋_GB2312"/>
          <w:b w:val="0"/>
          <w:bCs/>
          <w:color w:val="000000"/>
          <w:sz w:val="32"/>
          <w:szCs w:val="32"/>
        </w:rPr>
        <w:t>做出了解释说明。详见标准文本第3</w:t>
      </w:r>
      <w:r>
        <w:rPr>
          <w:rFonts w:hint="eastAsia" w:ascii="仿宋_GB2312" w:hAnsi="仿宋_GB2312" w:eastAsia="仿宋_GB2312" w:cs="仿宋_GB2312"/>
          <w:b w:val="0"/>
          <w:bCs/>
          <w:color w:val="000000"/>
          <w:sz w:val="32"/>
          <w:szCs w:val="32"/>
          <w:lang w:val="en-US" w:eastAsia="zh-CN"/>
        </w:rPr>
        <w:t>部分</w:t>
      </w:r>
      <w:r>
        <w:rPr>
          <w:rFonts w:hint="eastAsia" w:ascii="仿宋_GB2312" w:hAnsi="仿宋_GB2312" w:eastAsia="仿宋_GB2312" w:cs="仿宋_GB2312"/>
          <w:b w:val="0"/>
          <w:bCs/>
          <w:color w:val="000000"/>
          <w:sz w:val="32"/>
          <w:szCs w:val="32"/>
        </w:rPr>
        <w:t>。</w:t>
      </w:r>
    </w:p>
    <w:p w14:paraId="0444A4E8">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2、总体要求</w:t>
      </w:r>
    </w:p>
    <w:p w14:paraId="5DE0B289">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承检机构开展消费品召回购检活动，应当遵循相关法律法规的要求，此外还需做到公正性、真实性、可靠性、保密性。</w:t>
      </w:r>
    </w:p>
    <w:p w14:paraId="3869D030">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3、主要内容</w:t>
      </w:r>
    </w:p>
    <w:p w14:paraId="6C275C46">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本标准从承检机构基本要求、召回购检工作具体流程、购检异议处理、保密要求等四个方面对消费品召回购检工作的具体操作过程提出了明确的要求。</w:t>
      </w:r>
    </w:p>
    <w:p w14:paraId="749A7273">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六、与有关的现行法律、法规和强制性标准的关系</w:t>
      </w:r>
    </w:p>
    <w:p w14:paraId="7A447326">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Times New Roman" w:eastAsia="仿宋_GB2312"/>
          <w:color w:val="000000"/>
          <w:sz w:val="32"/>
          <w:szCs w:val="32"/>
        </w:rPr>
      </w:pPr>
      <w:r>
        <w:rPr>
          <w:rFonts w:hint="eastAsia" w:ascii="仿宋_GB2312" w:hAnsi="Times New Roman" w:eastAsia="仿宋_GB2312"/>
          <w:color w:val="000000"/>
          <w:sz w:val="32"/>
          <w:szCs w:val="32"/>
        </w:rPr>
        <w:t>本标准与有关的现行法律、法规和强制性标准不冲突。</w:t>
      </w:r>
    </w:p>
    <w:p w14:paraId="24C49721">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七、</w:t>
      </w:r>
      <w:r>
        <w:rPr>
          <w:rFonts w:hint="eastAsia" w:ascii="黑体" w:hAnsi="黑体" w:eastAsia="黑体"/>
          <w:sz w:val="32"/>
          <w:szCs w:val="32"/>
        </w:rPr>
        <w:t>重大意见分歧的处理依据和结果</w:t>
      </w:r>
    </w:p>
    <w:p w14:paraId="3FD676E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eastAsia" w:ascii="仿宋_GB2312" w:hAnsi="仿宋_GB2312" w:eastAsia="仿宋_GB2312" w:cs="宋体"/>
          <w:sz w:val="32"/>
          <w:szCs w:val="32"/>
        </w:rPr>
        <w:t>本标准的制定过程中无重大意见分歧。</w:t>
      </w:r>
    </w:p>
    <w:p w14:paraId="32A0FFF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lang w:eastAsia="zh-CN"/>
        </w:rPr>
        <w:t>八</w:t>
      </w:r>
      <w:r>
        <w:rPr>
          <w:rFonts w:hint="eastAsia" w:ascii="黑体" w:hAnsi="黑体" w:eastAsia="黑体"/>
          <w:sz w:val="32"/>
          <w:szCs w:val="32"/>
        </w:rPr>
        <w:t>、作为推荐性或强制性标准的建议及其理由</w:t>
      </w:r>
    </w:p>
    <w:p w14:paraId="5F65E47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宋体"/>
          <w:sz w:val="32"/>
          <w:szCs w:val="32"/>
        </w:rPr>
      </w:pPr>
      <w:r>
        <w:rPr>
          <w:rFonts w:hint="eastAsia" w:ascii="仿宋_GB2312" w:hAnsi="仿宋_GB2312" w:eastAsia="仿宋_GB2312"/>
          <w:sz w:val="32"/>
          <w:szCs w:val="32"/>
        </w:rPr>
        <w:t>建议作为推荐性标准发布实施。</w:t>
      </w:r>
    </w:p>
    <w:p w14:paraId="7CECE658">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九</w:t>
      </w:r>
      <w:r>
        <w:rPr>
          <w:rFonts w:hint="eastAsia" w:ascii="黑体" w:hAnsi="黑体" w:eastAsia="黑体" w:cs="黑体"/>
          <w:b w:val="0"/>
          <w:bCs/>
          <w:kern w:val="0"/>
          <w:sz w:val="32"/>
          <w:szCs w:val="32"/>
        </w:rPr>
        <w:t>、标准实施预期效益</w:t>
      </w:r>
    </w:p>
    <w:p w14:paraId="1C02688F">
      <w:pPr>
        <w:pStyle w:val="10"/>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Times New Roman" w:eastAsia="仿宋_GB2312" w:cs="Times New Roman"/>
          <w:color w:val="000000"/>
          <w:kern w:val="2"/>
          <w:sz w:val="32"/>
          <w:szCs w:val="32"/>
          <w:lang w:val="en-US" w:eastAsia="zh-CN" w:bidi="ar-SA"/>
        </w:rPr>
      </w:pPr>
      <w:r>
        <w:rPr>
          <w:rFonts w:hint="eastAsia" w:ascii="仿宋_GB2312" w:hAnsi="Times New Roman" w:eastAsia="仿宋_GB2312" w:cs="Times New Roman"/>
          <w:color w:val="000000"/>
          <w:kern w:val="2"/>
          <w:sz w:val="32"/>
          <w:szCs w:val="32"/>
          <w:lang w:val="en-US" w:eastAsia="zh-CN" w:bidi="ar-SA"/>
        </w:rPr>
        <w:t>本标准旨在为省</w:t>
      </w:r>
      <w:r>
        <w:rPr>
          <w:rFonts w:hint="eastAsia" w:ascii="仿宋_GB2312" w:eastAsia="仿宋_GB2312" w:cs="Times New Roman"/>
          <w:color w:val="000000"/>
          <w:kern w:val="2"/>
          <w:sz w:val="32"/>
          <w:szCs w:val="32"/>
          <w:lang w:val="en-US" w:eastAsia="zh-CN" w:bidi="ar-SA"/>
        </w:rPr>
        <w:t>内各级</w:t>
      </w:r>
      <w:r>
        <w:rPr>
          <w:rFonts w:hint="eastAsia" w:ascii="仿宋_GB2312" w:hAnsi="Times New Roman" w:eastAsia="仿宋_GB2312" w:cs="Times New Roman"/>
          <w:color w:val="000000"/>
          <w:kern w:val="2"/>
          <w:sz w:val="32"/>
          <w:szCs w:val="32"/>
          <w:lang w:val="en-US" w:eastAsia="zh-CN" w:bidi="ar-SA"/>
        </w:rPr>
        <w:t>召回监管部门及</w:t>
      </w:r>
      <w:r>
        <w:rPr>
          <w:rFonts w:hint="eastAsia" w:ascii="仿宋_GB2312" w:hAnsi="Times New Roman" w:eastAsia="仿宋_GB2312"/>
          <w:color w:val="000000"/>
          <w:kern w:val="0"/>
          <w:sz w:val="32"/>
          <w:szCs w:val="32"/>
        </w:rPr>
        <w:t>消费品召回购检承检机构</w:t>
      </w:r>
      <w:r>
        <w:rPr>
          <w:rFonts w:hint="eastAsia" w:ascii="仿宋_GB2312" w:hAnsi="Times New Roman" w:eastAsia="仿宋_GB2312" w:cs="Times New Roman"/>
          <w:color w:val="000000"/>
          <w:kern w:val="2"/>
          <w:sz w:val="32"/>
          <w:szCs w:val="32"/>
          <w:lang w:val="en-US" w:eastAsia="zh-CN" w:bidi="ar-SA"/>
        </w:rPr>
        <w:t>开展缺陷消费品召回</w:t>
      </w:r>
      <w:r>
        <w:rPr>
          <w:rFonts w:hint="eastAsia" w:ascii="仿宋_GB2312" w:eastAsia="仿宋_GB2312" w:cs="Times New Roman"/>
          <w:color w:val="000000"/>
          <w:kern w:val="2"/>
          <w:sz w:val="32"/>
          <w:szCs w:val="32"/>
          <w:lang w:val="en-US" w:eastAsia="zh-CN" w:bidi="ar-SA"/>
        </w:rPr>
        <w:t>购检</w:t>
      </w:r>
      <w:r>
        <w:rPr>
          <w:rFonts w:hint="eastAsia" w:ascii="仿宋_GB2312" w:hAnsi="Times New Roman" w:eastAsia="仿宋_GB2312" w:cs="Times New Roman"/>
          <w:color w:val="000000"/>
          <w:kern w:val="2"/>
          <w:sz w:val="32"/>
          <w:szCs w:val="32"/>
          <w:lang w:val="en-US" w:eastAsia="zh-CN" w:bidi="ar-SA"/>
        </w:rPr>
        <w:t>工作提供指引，充分发挥标准的引领作用，全面</w:t>
      </w:r>
      <w:r>
        <w:rPr>
          <w:rFonts w:hint="eastAsia" w:ascii="仿宋_GB2312" w:eastAsia="仿宋_GB2312" w:cs="Times New Roman"/>
          <w:color w:val="000000"/>
          <w:kern w:val="2"/>
          <w:sz w:val="32"/>
          <w:szCs w:val="32"/>
          <w:lang w:val="en-US" w:eastAsia="zh-CN" w:bidi="ar-SA"/>
        </w:rPr>
        <w:t>完善召回购检工作流程，</w:t>
      </w:r>
      <w:r>
        <w:rPr>
          <w:rFonts w:hint="eastAsia" w:ascii="仿宋_GB2312" w:hAnsi="Times New Roman" w:eastAsia="仿宋_GB2312" w:cs="Times New Roman"/>
          <w:color w:val="000000"/>
          <w:kern w:val="2"/>
          <w:sz w:val="32"/>
          <w:szCs w:val="32"/>
          <w:lang w:val="en-US" w:eastAsia="zh-CN" w:bidi="ar-SA"/>
        </w:rPr>
        <w:t>规范我省</w:t>
      </w:r>
      <w:r>
        <w:rPr>
          <w:rFonts w:hint="eastAsia" w:ascii="仿宋_GB2312" w:hAnsi="Times New Roman" w:eastAsia="仿宋_GB2312"/>
          <w:color w:val="000000"/>
          <w:kern w:val="0"/>
          <w:sz w:val="32"/>
          <w:szCs w:val="32"/>
        </w:rPr>
        <w:t>消费品召回购检承检机构</w:t>
      </w:r>
      <w:r>
        <w:rPr>
          <w:rFonts w:hint="eastAsia" w:ascii="仿宋_GB2312" w:hAnsi="Times New Roman" w:eastAsia="仿宋_GB2312" w:cs="Times New Roman"/>
          <w:color w:val="000000"/>
          <w:kern w:val="2"/>
          <w:sz w:val="32"/>
          <w:szCs w:val="32"/>
          <w:lang w:val="en-US" w:eastAsia="zh-CN" w:bidi="ar-SA"/>
        </w:rPr>
        <w:t>工作</w:t>
      </w:r>
      <w:r>
        <w:rPr>
          <w:rFonts w:hint="eastAsia" w:ascii="仿宋_GB2312" w:eastAsia="仿宋_GB2312" w:cs="Times New Roman"/>
          <w:color w:val="000000"/>
          <w:kern w:val="2"/>
          <w:sz w:val="32"/>
          <w:szCs w:val="32"/>
          <w:lang w:val="en-US" w:eastAsia="zh-CN" w:bidi="ar-SA"/>
        </w:rPr>
        <w:t>。</w:t>
      </w:r>
      <w:r>
        <w:rPr>
          <w:rFonts w:hint="eastAsia" w:ascii="仿宋_GB2312" w:hAnsi="Times New Roman" w:eastAsia="仿宋_GB2312" w:cs="Times New Roman"/>
          <w:color w:val="000000"/>
          <w:kern w:val="2"/>
          <w:sz w:val="32"/>
          <w:szCs w:val="32"/>
          <w:lang w:val="en-US" w:eastAsia="zh-CN" w:bidi="ar-SA"/>
        </w:rPr>
        <w:t>有助于消费者消除、降低产品安全隐患，切实增强维护消费安全的责任感，为我省消费品质量保障打下了良好的基础。</w:t>
      </w:r>
    </w:p>
    <w:p w14:paraId="3B29F428">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十</w:t>
      </w:r>
      <w:r>
        <w:rPr>
          <w:rFonts w:hint="eastAsia" w:ascii="黑体" w:hAnsi="黑体" w:eastAsia="黑体" w:cs="黑体"/>
          <w:b w:val="0"/>
          <w:bCs/>
          <w:kern w:val="0"/>
          <w:sz w:val="32"/>
          <w:szCs w:val="32"/>
        </w:rPr>
        <w:t>、贯彻标准的要求和措施建议</w:t>
      </w:r>
    </w:p>
    <w:p w14:paraId="7A1F91CA">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_GB2312" w:hAnsi="Times New Roman" w:eastAsia="仿宋_GB2312"/>
          <w:color w:val="auto"/>
          <w:sz w:val="32"/>
          <w:szCs w:val="32"/>
          <w:lang w:val="en-US" w:eastAsia="zh-CN"/>
        </w:rPr>
      </w:pPr>
      <w:r>
        <w:rPr>
          <w:rFonts w:hint="eastAsia" w:ascii="仿宋_GB2312" w:hAnsi="Times New Roman" w:eastAsia="仿宋_GB2312"/>
          <w:color w:val="auto"/>
          <w:sz w:val="32"/>
          <w:szCs w:val="32"/>
          <w:lang w:val="en-US" w:eastAsia="zh-CN"/>
        </w:rPr>
        <w:t>1、建议有关部门将本标准下发至各级</w:t>
      </w:r>
      <w:r>
        <w:rPr>
          <w:rFonts w:hint="eastAsia" w:ascii="仿宋_GB2312" w:hAnsi="Times New Roman" w:eastAsia="仿宋_GB2312" w:cs="Times New Roman"/>
          <w:color w:val="000000"/>
          <w:kern w:val="2"/>
          <w:sz w:val="32"/>
          <w:szCs w:val="32"/>
          <w:lang w:val="en-US" w:eastAsia="zh-CN" w:bidi="ar-SA"/>
        </w:rPr>
        <w:t>召回监管部门及相关技术机构，进行宣传、贯彻和培训</w:t>
      </w:r>
      <w:r>
        <w:rPr>
          <w:rFonts w:hint="eastAsia" w:ascii="仿宋_GB2312" w:hAnsi="Times New Roman" w:eastAsia="仿宋_GB2312"/>
          <w:color w:val="auto"/>
          <w:sz w:val="32"/>
          <w:szCs w:val="32"/>
          <w:lang w:val="en-US" w:eastAsia="zh-CN"/>
        </w:rPr>
        <w:t>。</w:t>
      </w:r>
    </w:p>
    <w:p w14:paraId="3F9DE45F">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Times New Roman" w:eastAsia="仿宋_GB2312"/>
          <w:color w:val="auto"/>
          <w:sz w:val="32"/>
          <w:szCs w:val="32"/>
          <w:lang w:val="en-US" w:eastAsia="zh-CN"/>
        </w:rPr>
      </w:pPr>
      <w:r>
        <w:rPr>
          <w:rFonts w:hint="eastAsia" w:ascii="仿宋_GB2312" w:hAnsi="Times New Roman" w:eastAsia="仿宋_GB2312"/>
          <w:color w:val="auto"/>
          <w:sz w:val="32"/>
          <w:szCs w:val="32"/>
          <w:lang w:val="en-US" w:eastAsia="zh-CN"/>
        </w:rPr>
        <w:t>2、本标准为首次制定，在实施过程中，各级召回监管部门及相关技术机构有意见建议及时告知本标准编制单位，进行进一步的修订完善。</w:t>
      </w:r>
    </w:p>
    <w:p w14:paraId="062C1C62">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Times New Roman" w:eastAsia="仿宋_GB2312"/>
          <w:color w:val="auto"/>
          <w:sz w:val="32"/>
          <w:szCs w:val="32"/>
          <w:lang w:val="en-US" w:eastAsia="zh-CN"/>
        </w:rPr>
      </w:pPr>
    </w:p>
    <w:p w14:paraId="156B2CBA">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Times New Roman" w:eastAsia="仿宋_GB2312"/>
          <w:color w:val="auto"/>
          <w:sz w:val="32"/>
          <w:szCs w:val="32"/>
          <w:lang w:val="en-US" w:eastAsia="zh-CN"/>
        </w:rPr>
      </w:pPr>
    </w:p>
    <w:p w14:paraId="16057196">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right"/>
        <w:textAlignment w:val="auto"/>
        <w:rPr>
          <w:rFonts w:hint="eastAsia" w:ascii="仿宋_GB2312" w:hAnsi="Times New Roman" w:eastAsia="仿宋_GB2312"/>
          <w:color w:val="auto"/>
          <w:sz w:val="32"/>
          <w:szCs w:val="32"/>
          <w:lang w:val="en-US" w:eastAsia="zh-CN"/>
        </w:rPr>
      </w:pPr>
      <w:r>
        <w:rPr>
          <w:rFonts w:hint="eastAsia" w:ascii="仿宋_GB2312" w:hAnsi="Times New Roman" w:eastAsia="仿宋_GB2312"/>
          <w:color w:val="auto"/>
          <w:sz w:val="32"/>
          <w:szCs w:val="32"/>
          <w:lang w:val="en-US" w:eastAsia="zh-CN"/>
        </w:rPr>
        <w:t>《消费品召回购检承检机构工作规范》标准起草小组</w:t>
      </w:r>
    </w:p>
    <w:p w14:paraId="567CAAE3">
      <w:pPr>
        <w:keepNext w:val="0"/>
        <w:keepLines w:val="0"/>
        <w:pageBreakBefore w:val="0"/>
        <w:kinsoku/>
        <w:wordWrap/>
        <w:overflowPunct/>
        <w:topLinePunct w:val="0"/>
        <w:autoSpaceDE/>
        <w:autoSpaceDN/>
        <w:bidi w:val="0"/>
        <w:adjustRightInd w:val="0"/>
        <w:snapToGrid w:val="0"/>
        <w:spacing w:line="560" w:lineRule="exact"/>
        <w:ind w:right="560" w:firstLine="640" w:firstLineChars="200"/>
        <w:jc w:val="center"/>
        <w:textAlignment w:val="auto"/>
      </w:pP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w:t>
      </w:r>
      <w:r>
        <w:rPr>
          <w:rFonts w:hint="eastAsia" w:ascii="仿宋_GB2312" w:hAnsi="宋体" w:eastAsia="仿宋_GB2312"/>
          <w:sz w:val="32"/>
          <w:szCs w:val="32"/>
          <w:lang w:val="en-US" w:eastAsia="zh-CN"/>
        </w:rPr>
        <w:t>1</w:t>
      </w:r>
      <w:r>
        <w:rPr>
          <w:rFonts w:hint="eastAsia" w:ascii="仿宋_GB2312" w:hAnsi="宋体" w:eastAsia="仿宋_GB2312"/>
          <w:sz w:val="32"/>
          <w:szCs w:val="32"/>
        </w:rPr>
        <w:t>月</w:t>
      </w:r>
      <w:r>
        <w:rPr>
          <w:rFonts w:hint="eastAsia" w:ascii="仿宋_GB2312" w:hAnsi="宋体" w:eastAsia="仿宋_GB2312"/>
          <w:sz w:val="32"/>
          <w:szCs w:val="32"/>
          <w:lang w:val="en-US" w:eastAsia="zh-CN"/>
        </w:rPr>
        <w:t>6</w:t>
      </w:r>
      <w:r>
        <w:rPr>
          <w:rFonts w:hint="eastAsia" w:ascii="仿宋_GB2312" w:hAnsi="宋体" w:eastAsia="仿宋_GB2312"/>
          <w:sz w:val="32"/>
          <w:szCs w:val="32"/>
        </w:rPr>
        <w:t>日</w:t>
      </w:r>
    </w:p>
    <w:sectPr>
      <w:footerReference r:id="rId3" w:type="default"/>
      <w:pgSz w:w="11906" w:h="16838"/>
      <w:pgMar w:top="1440" w:right="1588" w:bottom="130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86936C-1053-4C59-80F1-98ABAA87D4B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9F20C253-E439-400E-B1B1-5D6B11FB8385}"/>
  </w:font>
  <w:font w:name="仿宋_GB2312">
    <w:altName w:val="仿宋"/>
    <w:panose1 w:val="02010609030101010101"/>
    <w:charset w:val="86"/>
    <w:family w:val="modern"/>
    <w:pitch w:val="default"/>
    <w:sig w:usb0="00000000" w:usb1="00000000" w:usb2="00000000" w:usb3="00000000" w:csb0="00040000" w:csb1="00000000"/>
    <w:embedRegular r:id="rId3" w:fontKey="{40DE0049-EA29-4891-B194-F0DCE65A858A}"/>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AD8D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D1BA06">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D1BA06">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133D6"/>
    <w:multiLevelType w:val="singleLevel"/>
    <w:tmpl w:val="8EA133D6"/>
    <w:lvl w:ilvl="0" w:tentative="0">
      <w:start w:val="1"/>
      <w:numFmt w:val="chineseCounting"/>
      <w:suff w:val="nothing"/>
      <w:lvlText w:val="%1、"/>
      <w:lvlJc w:val="left"/>
      <w:rPr>
        <w:rFonts w:hint="eastAsia"/>
      </w:rPr>
    </w:lvl>
  </w:abstractNum>
  <w:abstractNum w:abstractNumId="1">
    <w:nsid w:val="96CFF7B2"/>
    <w:multiLevelType w:val="multilevel"/>
    <w:tmpl w:val="96CFF7B2"/>
    <w:lvl w:ilvl="0" w:tentative="0">
      <w:start w:val="1"/>
      <w:numFmt w:val="lowerLetter"/>
      <w:pStyle w:val="11"/>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4ODExZjJlYWQzMjYwYjE5NjA3MGQwM2ZiM2RiM2QifQ=="/>
  </w:docVars>
  <w:rsids>
    <w:rsidRoot w:val="1BE34F8C"/>
    <w:rsid w:val="00544CFE"/>
    <w:rsid w:val="010E179D"/>
    <w:rsid w:val="019C305B"/>
    <w:rsid w:val="020F1380"/>
    <w:rsid w:val="02AF383B"/>
    <w:rsid w:val="02F94AB6"/>
    <w:rsid w:val="04210B99"/>
    <w:rsid w:val="04A134EE"/>
    <w:rsid w:val="07163748"/>
    <w:rsid w:val="08BB35AB"/>
    <w:rsid w:val="09BD45E6"/>
    <w:rsid w:val="0A827597"/>
    <w:rsid w:val="0B207DFC"/>
    <w:rsid w:val="0D920C64"/>
    <w:rsid w:val="0E7B23C8"/>
    <w:rsid w:val="0F6D12FE"/>
    <w:rsid w:val="0FE72BAF"/>
    <w:rsid w:val="134D4C40"/>
    <w:rsid w:val="15312BF7"/>
    <w:rsid w:val="157A68B3"/>
    <w:rsid w:val="171D7FD8"/>
    <w:rsid w:val="17DD62BD"/>
    <w:rsid w:val="18397BB8"/>
    <w:rsid w:val="1A67359E"/>
    <w:rsid w:val="1BB2184F"/>
    <w:rsid w:val="1BE34F8C"/>
    <w:rsid w:val="1BEE234F"/>
    <w:rsid w:val="1C527552"/>
    <w:rsid w:val="1E79580D"/>
    <w:rsid w:val="1E852CCC"/>
    <w:rsid w:val="20E95F52"/>
    <w:rsid w:val="227B478A"/>
    <w:rsid w:val="23D62A7A"/>
    <w:rsid w:val="24C83355"/>
    <w:rsid w:val="26524604"/>
    <w:rsid w:val="27466343"/>
    <w:rsid w:val="27FFC608"/>
    <w:rsid w:val="2A462018"/>
    <w:rsid w:val="2B3C3314"/>
    <w:rsid w:val="2D4B3B86"/>
    <w:rsid w:val="2FBE3418"/>
    <w:rsid w:val="313A63D7"/>
    <w:rsid w:val="34D21323"/>
    <w:rsid w:val="362A7311"/>
    <w:rsid w:val="378EBB49"/>
    <w:rsid w:val="39FF38F8"/>
    <w:rsid w:val="3BBDCF10"/>
    <w:rsid w:val="3C38267A"/>
    <w:rsid w:val="3C6634F2"/>
    <w:rsid w:val="3CB46D7D"/>
    <w:rsid w:val="3D346BA3"/>
    <w:rsid w:val="3DC8149C"/>
    <w:rsid w:val="3DCD7CBA"/>
    <w:rsid w:val="3E5534D8"/>
    <w:rsid w:val="3FB2F60B"/>
    <w:rsid w:val="3FEB3E8A"/>
    <w:rsid w:val="40CD75FA"/>
    <w:rsid w:val="417A4695"/>
    <w:rsid w:val="423B3A9C"/>
    <w:rsid w:val="429157C0"/>
    <w:rsid w:val="43346E69"/>
    <w:rsid w:val="452D158C"/>
    <w:rsid w:val="476B04B5"/>
    <w:rsid w:val="49480AF6"/>
    <w:rsid w:val="4A493BE6"/>
    <w:rsid w:val="4AE729B3"/>
    <w:rsid w:val="4CD70CAE"/>
    <w:rsid w:val="4E99C1C4"/>
    <w:rsid w:val="4FAB14FB"/>
    <w:rsid w:val="4FFA6D45"/>
    <w:rsid w:val="5032409D"/>
    <w:rsid w:val="509E3B74"/>
    <w:rsid w:val="50EA57CF"/>
    <w:rsid w:val="51DF7B64"/>
    <w:rsid w:val="524845E8"/>
    <w:rsid w:val="525A7D8B"/>
    <w:rsid w:val="53C51035"/>
    <w:rsid w:val="53F47681"/>
    <w:rsid w:val="54B756AE"/>
    <w:rsid w:val="56B624FB"/>
    <w:rsid w:val="56F508DE"/>
    <w:rsid w:val="57CD2971"/>
    <w:rsid w:val="58AD5A20"/>
    <w:rsid w:val="59E262CB"/>
    <w:rsid w:val="5CB26E27"/>
    <w:rsid w:val="5EB79735"/>
    <w:rsid w:val="5ED47131"/>
    <w:rsid w:val="5FB97AEE"/>
    <w:rsid w:val="5FCD025D"/>
    <w:rsid w:val="60BF4D40"/>
    <w:rsid w:val="60F0394C"/>
    <w:rsid w:val="617B35AA"/>
    <w:rsid w:val="618E4CF7"/>
    <w:rsid w:val="638D0EDA"/>
    <w:rsid w:val="656D4ED5"/>
    <w:rsid w:val="65EC6D69"/>
    <w:rsid w:val="66A16A6A"/>
    <w:rsid w:val="66B47C34"/>
    <w:rsid w:val="67937E05"/>
    <w:rsid w:val="6A7A370B"/>
    <w:rsid w:val="6AC87D14"/>
    <w:rsid w:val="6B1B7E43"/>
    <w:rsid w:val="6B200345"/>
    <w:rsid w:val="6C3806B1"/>
    <w:rsid w:val="6C435C13"/>
    <w:rsid w:val="6D0C2932"/>
    <w:rsid w:val="6E0704F3"/>
    <w:rsid w:val="6E8E3022"/>
    <w:rsid w:val="6F9E1016"/>
    <w:rsid w:val="706F13C6"/>
    <w:rsid w:val="71FA177E"/>
    <w:rsid w:val="750741FE"/>
    <w:rsid w:val="76070058"/>
    <w:rsid w:val="77CA0A7C"/>
    <w:rsid w:val="7AA45FB6"/>
    <w:rsid w:val="7BE9291F"/>
    <w:rsid w:val="7BE95573"/>
    <w:rsid w:val="7BFD23AF"/>
    <w:rsid w:val="7C8D4666"/>
    <w:rsid w:val="7CBA19FD"/>
    <w:rsid w:val="7EB47221"/>
    <w:rsid w:val="7F7814F8"/>
    <w:rsid w:val="7F9F1226"/>
    <w:rsid w:val="7FEE8D2D"/>
    <w:rsid w:val="9EEEBBE8"/>
    <w:rsid w:val="9F3D0BAB"/>
    <w:rsid w:val="B3FE6C49"/>
    <w:rsid w:val="BF9FA18F"/>
    <w:rsid w:val="DFCD3D60"/>
    <w:rsid w:val="E4FC46B7"/>
    <w:rsid w:val="FBBC073C"/>
    <w:rsid w:val="FBDF43CD"/>
    <w:rsid w:val="FF5F0DFC"/>
    <w:rsid w:val="FFEBB34D"/>
    <w:rsid w:val="FFFF3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0"/>
    <w:rPr>
      <w:sz w:val="24"/>
    </w:rPr>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字母编号列项（一级）"/>
    <w:qFormat/>
    <w:uiPriority w:val="0"/>
    <w:pPr>
      <w:numPr>
        <w:ilvl w:val="0"/>
        <w:numId w:val="1"/>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2346</Words>
  <Characters>2402</Characters>
  <Lines>0</Lines>
  <Paragraphs>0</Paragraphs>
  <TotalTime>1</TotalTime>
  <ScaleCrop>false</ScaleCrop>
  <LinksUpToDate>false</LinksUpToDate>
  <CharactersWithSpaces>2434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2021-05-25T03:14:00Z</dcterms:created>
  <dc:creator>刘</dc:creator>
  <cp:lastModifiedBy>陈星瞳</cp:lastModifiedBy>
  <cp:lastPrinted>2023-08-07T01:16:00Z</cp:lastPrinted>
  <dcterms:modified xsi:type="dcterms:W3CDTF">2025-01-07T01:49:32Z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179F2F26AB114D079ED2EE7B12570396</vt:lpwstr>
  </property>
  <property fmtid="{D5CDD505-2E9C-101B-9397-08002B2CF9AE}" pid="4" name="KSOTemplateDocerSaveRecord">
    <vt:lpwstr>eyJoZGlkIjoiNzhiMjFhNjIyYzE0ZWNjMWI5NjJlODEyYTM4NmRiY2EiLCJ1c2VySWQiOiIxMjEzNjU0MDg4In0=</vt:lpwstr>
  </property>
</Properties>
</file>